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182E" w14:textId="1A3DAE36" w:rsidR="00C16199" w:rsidRPr="00FC50C3" w:rsidRDefault="00C16199" w:rsidP="00C16199">
      <w:pPr>
        <w:tabs>
          <w:tab w:val="left" w:pos="4590"/>
        </w:tabs>
        <w:spacing w:after="0" w:line="240" w:lineRule="auto"/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AFF328" wp14:editId="5E2706D3">
            <wp:simplePos x="0" y="0"/>
            <wp:positionH relativeFrom="column">
              <wp:posOffset>2524760</wp:posOffset>
            </wp:positionH>
            <wp:positionV relativeFrom="paragraph">
              <wp:posOffset>-59690</wp:posOffset>
            </wp:positionV>
            <wp:extent cx="873125" cy="770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EEC">
        <w:rPr>
          <w:rFonts w:ascii="Sylfaen" w:hAnsi="Sylfaen"/>
          <w:b/>
          <w:sz w:val="24"/>
          <w:szCs w:val="24"/>
        </w:rPr>
        <w:tab/>
      </w:r>
      <w:r w:rsidRPr="005C3EEC">
        <w:rPr>
          <w:rFonts w:ascii="Sylfaen" w:hAnsi="Sylfaen"/>
          <w:b/>
          <w:sz w:val="24"/>
          <w:szCs w:val="24"/>
        </w:rPr>
        <w:tab/>
      </w:r>
      <w:r w:rsidRPr="005C3EEC">
        <w:rPr>
          <w:rFonts w:ascii="Sylfaen" w:hAnsi="Sylfaen"/>
          <w:b/>
          <w:sz w:val="24"/>
          <w:szCs w:val="24"/>
        </w:rPr>
        <w:tab/>
      </w:r>
      <w:r w:rsidRPr="005C3EEC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  <w:u w:val="single"/>
          <w:lang w:val="hy-AM"/>
        </w:rPr>
        <w:t>ԵԴ2</w:t>
      </w:r>
      <w:r w:rsidRPr="005C3EEC">
        <w:rPr>
          <w:rFonts w:ascii="Sylfaen" w:hAnsi="Sylfaen"/>
          <w:b/>
          <w:sz w:val="24"/>
          <w:szCs w:val="24"/>
          <w:u w:val="single"/>
        </w:rPr>
        <w:t>/</w:t>
      </w:r>
      <w:r>
        <w:rPr>
          <w:rFonts w:ascii="Sylfaen" w:hAnsi="Sylfaen"/>
          <w:b/>
          <w:sz w:val="24"/>
          <w:szCs w:val="24"/>
          <w:u w:val="single"/>
          <w:lang w:val="hy-AM"/>
        </w:rPr>
        <w:t>3907</w:t>
      </w:r>
      <w:r w:rsidRPr="005C3EEC">
        <w:rPr>
          <w:rFonts w:ascii="Sylfaen" w:hAnsi="Sylfaen"/>
          <w:b/>
          <w:sz w:val="24"/>
          <w:szCs w:val="24"/>
          <w:u w:val="single"/>
        </w:rPr>
        <w:t>/02/</w:t>
      </w:r>
      <w:r>
        <w:rPr>
          <w:rFonts w:ascii="Sylfaen" w:hAnsi="Sylfaen"/>
          <w:b/>
          <w:sz w:val="24"/>
          <w:szCs w:val="24"/>
          <w:u w:val="single"/>
          <w:lang w:val="hy-AM"/>
        </w:rPr>
        <w:t>23</w:t>
      </w:r>
    </w:p>
    <w:p w14:paraId="177C5D9A" w14:textId="77777777" w:rsidR="00C16199" w:rsidRPr="005C3EEC" w:rsidRDefault="00C16199" w:rsidP="00C16199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14:paraId="191F9BF6" w14:textId="77777777" w:rsidR="00C16199" w:rsidRPr="005C3EEC" w:rsidRDefault="00C16199" w:rsidP="00C16199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CAEFCFD" w14:textId="77777777" w:rsidR="00C16199" w:rsidRPr="00FC50C3" w:rsidRDefault="00C16199" w:rsidP="00C16199">
      <w:pPr>
        <w:spacing w:after="0" w:line="240" w:lineRule="auto"/>
        <w:jc w:val="center"/>
        <w:rPr>
          <w:rFonts w:ascii="Sylfaen" w:hAnsi="Sylfaen"/>
          <w:b/>
          <w:sz w:val="16"/>
          <w:szCs w:val="24"/>
          <w:lang w:val="hy-AM"/>
        </w:rPr>
      </w:pPr>
    </w:p>
    <w:p w14:paraId="102C60D6" w14:textId="77777777" w:rsidR="00C16199" w:rsidRPr="00B74683" w:rsidRDefault="00C16199" w:rsidP="00C16199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>ՀՀ  ԵՐԵՎԱՆ ՔԱՂԱՔԻ  ԱՌԱՋԻՆ  ԱՏՅԱՆԻ</w:t>
      </w:r>
    </w:p>
    <w:p w14:paraId="118BAD03" w14:textId="77777777" w:rsidR="00C16199" w:rsidRPr="00B74683" w:rsidRDefault="00C16199" w:rsidP="00C16199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ԸՆԴՀԱՆՈՒՐ  ԻՐԱՎԱՍՈՒԹՅԱՆ  </w:t>
      </w:r>
      <w:r>
        <w:rPr>
          <w:rFonts w:ascii="Sylfaen" w:hAnsi="Sylfaen"/>
          <w:b/>
          <w:lang w:val="hy-AM"/>
        </w:rPr>
        <w:t xml:space="preserve">ՔԱՂԱՔԱՑԻԱԿԱՆ </w:t>
      </w:r>
      <w:r w:rsidRPr="00B74683">
        <w:rPr>
          <w:rFonts w:ascii="Sylfaen" w:hAnsi="Sylfaen"/>
          <w:b/>
          <w:lang w:val="hy-AM"/>
        </w:rPr>
        <w:t>ԴԱՏԱՐԱՆԻ</w:t>
      </w:r>
    </w:p>
    <w:p w14:paraId="36791991" w14:textId="77777777" w:rsidR="00C16199" w:rsidRPr="00B74683" w:rsidRDefault="00C16199" w:rsidP="00C16199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>Ո Ր Ո Շ Ո Ւ Մ</w:t>
      </w:r>
    </w:p>
    <w:p w14:paraId="5ED6A278" w14:textId="77777777" w:rsidR="00C16199" w:rsidRPr="00B74683" w:rsidRDefault="00C16199" w:rsidP="00C16199">
      <w:pPr>
        <w:spacing w:after="0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ՀԱՅՑԱԴԻՄՈՒՄԸ   ՎԱՐՈՒՅԹ   ԸՆԴՈՒՆԵԼՈՒ, </w:t>
      </w:r>
    </w:p>
    <w:p w14:paraId="6B23CAC7" w14:textId="77777777" w:rsidR="00C16199" w:rsidRPr="00B74683" w:rsidRDefault="00C16199" w:rsidP="00C16199">
      <w:pPr>
        <w:spacing w:after="0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ՊԱՏԱՍԽԱՆՈՂԻՑ ԱՊԱՑՈՒՅՑՆԵՐ ՊԱՀԱՆՋԵԼՈՒ ԵՎ </w:t>
      </w:r>
    </w:p>
    <w:p w14:paraId="572737CB" w14:textId="77777777" w:rsidR="00C16199" w:rsidRPr="00B74683" w:rsidRDefault="00C16199" w:rsidP="00C16199">
      <w:pPr>
        <w:spacing w:after="0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ԳՈՐԾԻ ՔՆՆՈՒԹՅՈՒՆԸ ԴԱՏԱԿԱՆ ՆԻՍՏՈՎ ԻՐԱԿԱՆԱՑՆԵԼՈՒ ՄԱՍԻՆ            </w:t>
      </w:r>
    </w:p>
    <w:p w14:paraId="16943832" w14:textId="77777777" w:rsidR="00C16199" w:rsidRPr="00CB415E" w:rsidRDefault="00C16199" w:rsidP="00C16199">
      <w:pPr>
        <w:spacing w:after="0" w:line="240" w:lineRule="auto"/>
        <w:ind w:firstLine="720"/>
        <w:jc w:val="center"/>
        <w:rPr>
          <w:rFonts w:ascii="Sylfaen" w:hAnsi="Sylfaen"/>
          <w:b/>
          <w:sz w:val="12"/>
          <w:szCs w:val="24"/>
          <w:lang w:val="hy-AM"/>
        </w:rPr>
      </w:pPr>
    </w:p>
    <w:p w14:paraId="4F3C9AA6" w14:textId="77777777" w:rsidR="00C16199" w:rsidRPr="005C3EEC" w:rsidRDefault="00C16199" w:rsidP="00C16199">
      <w:pPr>
        <w:spacing w:after="0" w:line="240" w:lineRule="auto"/>
        <w:ind w:firstLine="72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19 մայիսի </w:t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>20</w:t>
      </w:r>
      <w:r>
        <w:rPr>
          <w:rFonts w:ascii="Sylfaen" w:hAnsi="Sylfaen" w:cs="Times Armenian"/>
          <w:b/>
          <w:sz w:val="24"/>
          <w:szCs w:val="24"/>
          <w:lang w:val="hy-AM"/>
        </w:rPr>
        <w:t>23</w:t>
      </w:r>
      <w:r w:rsidRPr="005C3EEC">
        <w:rPr>
          <w:rFonts w:ascii="Sylfaen" w:hAnsi="Sylfaen" w:cs="Sylfaen"/>
          <w:b/>
          <w:sz w:val="24"/>
          <w:szCs w:val="24"/>
          <w:lang w:val="hy-AM"/>
        </w:rPr>
        <w:t>թ.</w:t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  <w:t xml:space="preserve"> </w:t>
      </w:r>
      <w:r w:rsidRPr="005C3EEC">
        <w:rPr>
          <w:rFonts w:ascii="Sylfaen" w:hAnsi="Sylfaen" w:cs="Sylfaen"/>
          <w:b/>
          <w:sz w:val="24"/>
          <w:szCs w:val="24"/>
          <w:lang w:val="hy-AM"/>
        </w:rPr>
        <w:t>ք</w:t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>.</w:t>
      </w:r>
      <w:r>
        <w:rPr>
          <w:rFonts w:ascii="Sylfaen" w:hAnsi="Sylfaen" w:cs="Times Armenian"/>
          <w:b/>
          <w:sz w:val="24"/>
          <w:szCs w:val="24"/>
          <w:lang w:val="hy-AM"/>
        </w:rPr>
        <w:t>Երևան</w:t>
      </w:r>
    </w:p>
    <w:p w14:paraId="6305ACE4" w14:textId="77777777" w:rsidR="00C16199" w:rsidRPr="000C7F83" w:rsidRDefault="00C16199" w:rsidP="00C16199">
      <w:pPr>
        <w:spacing w:after="0" w:line="240" w:lineRule="auto"/>
        <w:ind w:firstLine="720"/>
        <w:jc w:val="center"/>
        <w:rPr>
          <w:rFonts w:ascii="Sylfaen" w:hAnsi="Sylfaen" w:cs="Sylfaen"/>
          <w:b/>
          <w:sz w:val="10"/>
          <w:szCs w:val="24"/>
          <w:lang w:val="hy-AM"/>
        </w:rPr>
      </w:pPr>
    </w:p>
    <w:p w14:paraId="6BC697D1" w14:textId="77777777" w:rsidR="00C16199" w:rsidRPr="00CB415E" w:rsidRDefault="00C16199" w:rsidP="00C16199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5C3EEC">
        <w:rPr>
          <w:rFonts w:ascii="Sylfaen" w:hAnsi="Sylfaen" w:cs="Sylfaen"/>
          <w:sz w:val="24"/>
          <w:szCs w:val="24"/>
          <w:lang w:val="hy-AM"/>
        </w:rPr>
        <w:t xml:space="preserve">ՀՀ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առաջին ատյանի ընդհանուր իրավասության </w:t>
      </w:r>
      <w:r>
        <w:rPr>
          <w:rFonts w:ascii="Sylfaen" w:hAnsi="Sylfaen" w:cs="Sylfaen"/>
          <w:sz w:val="24"/>
          <w:szCs w:val="24"/>
          <w:lang w:val="hy-AM"/>
        </w:rPr>
        <w:t xml:space="preserve">քաղաքացիական 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դատարանի դատավոր </w:t>
      </w:r>
      <w:r>
        <w:rPr>
          <w:rFonts w:ascii="Sylfaen" w:hAnsi="Sylfaen" w:cs="Sylfaen"/>
          <w:sz w:val="24"/>
          <w:szCs w:val="24"/>
          <w:lang w:val="hy-AM"/>
        </w:rPr>
        <w:t>Լիզա Գրիգորյանս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ուսումնասիրելով </w:t>
      </w:r>
      <w:r>
        <w:rPr>
          <w:rFonts w:ascii="Sylfaen" w:hAnsi="Sylfaen" w:cs="Sylfaen"/>
          <w:sz w:val="24"/>
          <w:szCs w:val="24"/>
          <w:lang w:val="hy-AM"/>
        </w:rPr>
        <w:t>«ԿԱՊԻՏԱԼ ԴԻԶԱՅՆ»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 ընկերության ընդդեմ </w:t>
      </w:r>
      <w:r>
        <w:rPr>
          <w:rFonts w:ascii="Sylfaen" w:hAnsi="Sylfaen" w:cs="Sylfaen"/>
          <w:sz w:val="24"/>
          <w:szCs w:val="24"/>
          <w:lang w:val="hy-AM"/>
        </w:rPr>
        <w:t>Երևանի քաղաքապետարանի, վեճի առարկայի նկատմամբ ինքնուրույն պահանջ չներկայացնող երրորդ անձ՝ ՀՀ ֆինանսների նախարարության՝ «ԿԱՊԻՏԱԼ ԴԻԶԱՅՆ»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</w:t>
      </w:r>
      <w:r>
        <w:rPr>
          <w:rFonts w:ascii="Sylfaen" w:hAnsi="Sylfaen" w:cs="Sylfaen"/>
          <w:sz w:val="24"/>
          <w:szCs w:val="24"/>
          <w:lang w:val="hy-AM"/>
        </w:rPr>
        <w:t xml:space="preserve">Ը-ին գնումների գործընթացին մասնակցելու իրավունք չունեցող մասնակիցների ցուցակում ներառելու մասին Երևանի քաղաքապետի առաջին տեղեկալ, Երևանի քաղաքապետի պաշտոնակատար՝ Լևոն Հովհաննիսյանի 10.04.2023թ. կայացրած 774-Ա որոշումն անվավեր ճանաչելու պահանջի վերաբերյալ </w:t>
      </w:r>
      <w:r w:rsidRPr="00CB415E">
        <w:rPr>
          <w:rFonts w:ascii="Sylfaen" w:hAnsi="Sylfaen" w:cs="Sylfaen"/>
          <w:sz w:val="24"/>
          <w:szCs w:val="24"/>
          <w:lang w:val="hy-AM"/>
        </w:rPr>
        <w:t>հայցադիմումը և դրան կից ներկայացված փաստաթղթերը.</w:t>
      </w:r>
    </w:p>
    <w:p w14:paraId="3CBB29D5" w14:textId="77777777" w:rsidR="00C16199" w:rsidRPr="005C3EEC" w:rsidRDefault="00C16199" w:rsidP="00C16199">
      <w:pPr>
        <w:tabs>
          <w:tab w:val="left" w:pos="7920"/>
        </w:tabs>
        <w:spacing w:after="0" w:line="240" w:lineRule="auto"/>
        <w:ind w:firstLine="72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5C3EEC">
        <w:rPr>
          <w:rFonts w:ascii="Sylfaen" w:hAnsi="Sylfaen" w:cs="Sylfaen"/>
          <w:b/>
          <w:sz w:val="24"/>
          <w:szCs w:val="24"/>
          <w:lang w:val="hy-AM"/>
        </w:rPr>
        <w:t>Պ Ա Ր Զ Ե Ց Ի</w:t>
      </w:r>
    </w:p>
    <w:p w14:paraId="7340A26C" w14:textId="77777777" w:rsidR="00C16199" w:rsidRPr="000C7F83" w:rsidRDefault="00C16199" w:rsidP="00C16199">
      <w:pPr>
        <w:tabs>
          <w:tab w:val="left" w:pos="7920"/>
        </w:tabs>
        <w:spacing w:after="0" w:line="240" w:lineRule="auto"/>
        <w:ind w:firstLine="720"/>
        <w:jc w:val="center"/>
        <w:rPr>
          <w:rFonts w:ascii="Sylfaen" w:hAnsi="Sylfaen" w:cs="Sylfaen"/>
          <w:b/>
          <w:sz w:val="12"/>
          <w:szCs w:val="24"/>
          <w:lang w:val="hy-AM"/>
        </w:rPr>
      </w:pPr>
    </w:p>
    <w:p w14:paraId="11A40578" w14:textId="77777777" w:rsidR="00C16199" w:rsidRDefault="00C16199" w:rsidP="00C16199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CB415E">
        <w:rPr>
          <w:rFonts w:ascii="Sylfaen" w:hAnsi="Sylfaen" w:cs="Sylfaen"/>
          <w:sz w:val="24"/>
          <w:szCs w:val="24"/>
          <w:lang w:val="hy-AM"/>
        </w:rPr>
        <w:t>202</w:t>
      </w:r>
      <w:r>
        <w:rPr>
          <w:rFonts w:ascii="Sylfaen" w:hAnsi="Sylfaen" w:cs="Sylfaen"/>
          <w:sz w:val="24"/>
          <w:szCs w:val="24"/>
          <w:lang w:val="hy-AM"/>
        </w:rPr>
        <w:t xml:space="preserve">3 </w:t>
      </w:r>
      <w:r w:rsidRPr="00CB415E">
        <w:rPr>
          <w:rFonts w:ascii="Sylfaen" w:hAnsi="Sylfaen" w:cs="Sylfaen"/>
          <w:sz w:val="24"/>
          <w:szCs w:val="24"/>
          <w:lang w:val="hy-AM"/>
        </w:rPr>
        <w:t>թ</w:t>
      </w:r>
      <w:r>
        <w:rPr>
          <w:rFonts w:ascii="Sylfaen" w:hAnsi="Sylfaen" w:cs="Sylfaen"/>
          <w:sz w:val="24"/>
          <w:szCs w:val="24"/>
          <w:lang w:val="hy-AM"/>
        </w:rPr>
        <w:t xml:space="preserve">վականի 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մայիսի 11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-ին </w:t>
      </w:r>
      <w:r>
        <w:rPr>
          <w:rFonts w:ascii="Sylfaen" w:hAnsi="Sylfaen" w:cs="Sylfaen"/>
          <w:sz w:val="24"/>
          <w:szCs w:val="24"/>
          <w:lang w:val="hy-AM"/>
        </w:rPr>
        <w:t>«ԿԱՊԻՏԱԼ ԴԻԶԱՅՆ»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 ընկերության </w:t>
      </w:r>
      <w:r>
        <w:rPr>
          <w:rFonts w:ascii="Sylfaen" w:hAnsi="Sylfaen" w:cs="Sylfaen"/>
          <w:sz w:val="24"/>
          <w:szCs w:val="24"/>
          <w:lang w:val="hy-AM"/>
        </w:rPr>
        <w:t>տնօրեն՝ Էդուարդ Դավթյանը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հայցադիմում է ներկայացրել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առաջին ատյանի ընդհանուր իրավասության քաղաքացիական 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դատարան ընդդեմ </w:t>
      </w:r>
      <w:r>
        <w:rPr>
          <w:rFonts w:ascii="Sylfaen" w:hAnsi="Sylfaen" w:cs="Sylfaen"/>
          <w:sz w:val="24"/>
          <w:szCs w:val="24"/>
          <w:lang w:val="hy-AM"/>
        </w:rPr>
        <w:t>Երևանի քաղաքապետարանի, վեճի առարկայի նկատմամբ ինքնուրույն պահանջ չներկայացնող երրորդ անձ՝ ՀՀ ֆինանսների նախարարության՝ «ԿԱՊԻՏԱԼ ԴԻԶԱՅՆ»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</w:t>
      </w:r>
      <w:r>
        <w:rPr>
          <w:rFonts w:ascii="Sylfaen" w:hAnsi="Sylfaen" w:cs="Sylfaen"/>
          <w:sz w:val="24"/>
          <w:szCs w:val="24"/>
          <w:lang w:val="hy-AM"/>
        </w:rPr>
        <w:t>Ը-ին գնումների գործընթացին մասնակցելու իրավունք չունեցող մասնակիցների ցուցակում ներառելու մասին Երևանի քաղաքապետի առաջին տեղեկալ, Երևանի քաղաքապետի պաշտոնակատար՝ Լևոն Հովհաննիսյանի 10.04.2023թ. կայացրած 774-Ա որոշումն անվավեր ճանաչելու պահանջի վերաբերյալ</w:t>
      </w:r>
      <w:r w:rsidRPr="00CB415E">
        <w:rPr>
          <w:rFonts w:ascii="Sylfaen" w:hAnsi="Sylfaen" w:cs="Sylfaen"/>
          <w:sz w:val="24"/>
          <w:szCs w:val="24"/>
          <w:lang w:val="hy-AM"/>
        </w:rPr>
        <w:t>:</w:t>
      </w:r>
    </w:p>
    <w:p w14:paraId="5C72865D" w14:textId="77777777" w:rsidR="00C16199" w:rsidRDefault="00C16199" w:rsidP="00C16199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Հայցադիմումը և կից փաստաթղթերը 11.05.2023 թվականին մուտքագրվել է դատարան և նույն օրը մակագրվել է 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ՀՀ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</w:t>
      </w:r>
      <w:r w:rsidRPr="005C3EEC">
        <w:rPr>
          <w:rFonts w:ascii="Sylfaen" w:hAnsi="Sylfaen" w:cs="Sylfaen"/>
          <w:sz w:val="24"/>
          <w:szCs w:val="24"/>
          <w:lang w:val="hy-AM"/>
        </w:rPr>
        <w:t>առաջին ատյանի ընդհանուր իրավասության</w:t>
      </w:r>
      <w:r>
        <w:rPr>
          <w:rFonts w:ascii="Sylfaen" w:hAnsi="Sylfaen" w:cs="Sylfaen"/>
          <w:sz w:val="24"/>
          <w:szCs w:val="24"/>
          <w:lang w:val="hy-AM"/>
        </w:rPr>
        <w:t xml:space="preserve"> քաղաքացիական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 դատարանի դատավոր</w:t>
      </w:r>
      <w:r>
        <w:rPr>
          <w:rFonts w:ascii="Sylfaen" w:hAnsi="Sylfaen" w:cs="Sylfaen"/>
          <w:sz w:val="24"/>
          <w:szCs w:val="24"/>
          <w:lang w:val="hy-AM"/>
        </w:rPr>
        <w:t>՝ Լ.Գրիգորյանին:</w:t>
      </w:r>
    </w:p>
    <w:p w14:paraId="30997959" w14:textId="77777777" w:rsidR="00C16199" w:rsidRDefault="00C16199" w:rsidP="00C16199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CB415E">
        <w:rPr>
          <w:rFonts w:ascii="Sylfaen" w:hAnsi="Sylfaen" w:cs="Sylfaen"/>
          <w:sz w:val="24"/>
          <w:szCs w:val="24"/>
          <w:lang w:val="hy-AM"/>
        </w:rPr>
        <w:t>Հայցվոր</w:t>
      </w:r>
      <w:r>
        <w:rPr>
          <w:rFonts w:ascii="Sylfaen" w:hAnsi="Sylfaen" w:cs="Sylfaen"/>
          <w:sz w:val="24"/>
          <w:szCs w:val="24"/>
          <w:lang w:val="hy-AM"/>
        </w:rPr>
        <w:t xml:space="preserve"> կողմը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ներկայացրել է նաև միջնորդություն՝ գործը դատական նիստում քննության առնելու մասին:</w:t>
      </w:r>
    </w:p>
    <w:p w14:paraId="0AD123D3" w14:textId="77777777" w:rsidR="00C16199" w:rsidRDefault="00C16199" w:rsidP="00C16199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Հայցադիմումը և կից փաստաթղթերը դատավորի աշխատակազմին է հանձնվել 16.05.2023 թվականին:</w:t>
      </w:r>
    </w:p>
    <w:p w14:paraId="14581CFD" w14:textId="77777777" w:rsidR="00C16199" w:rsidRPr="000C7F83" w:rsidRDefault="00C16199" w:rsidP="00C16199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6"/>
          <w:szCs w:val="24"/>
          <w:lang w:val="hy-AM"/>
        </w:rPr>
      </w:pPr>
    </w:p>
    <w:p w14:paraId="135CC664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Դատարանն արձանագրում է, որ հայցադիմումը ներկայացված է 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>կան դատավարության օրենսգրքի 121-րդ և 122-րդ հոդվածների պահանջներին համապատաս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 xml:space="preserve">խան և բացակայում են նույն օրենսգրքի 126-րդ և 127-րդ հոդվածներով սահմանված հայցադիմումի ընդունումը մերժելու կամ վերադարձնելու հիմքերը: </w:t>
      </w:r>
    </w:p>
    <w:p w14:paraId="6933B1CF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7F3936F9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Դատարանն գտնում է, որ սույն վեճը քննության է ենթակա 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>կան դատավարության օրենսգրքի 27.2 գլխով սահմանված հատուկ հայցային վարույթի կարգով, որպիսի պարագայում՝ հիմք ընդունելով 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>կան դատավարության օրենսգրքի 234.6-րդ հոդվածը, անհրաժեշտ է Պատասխանողից պահանջել գնման գործընթացի հետ կապված պատասխանողի տիրապետման տակ գտնվող բոլոր ապացույցները:</w:t>
      </w:r>
    </w:p>
    <w:p w14:paraId="50FEFA6C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60D9E6C3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Անդրադառնալով գործը դատական նիստում քննության առնելու մասին հայցվորի միջնորդությանը, ապա դատարանը գտնում է, որ այն ենթակա է բավարարման՝ հետևյալ հիմնավորմամբ.</w:t>
      </w:r>
    </w:p>
    <w:p w14:paraId="2276A567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3CB41CBC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 xml:space="preserve">կան դատավարության օրենսգրքի 234.9-րդ հոդվածի համաձայն՝ դատարանը սույն գլխով նախատեսված վեճերով գործերը քննում և դրանց վերաբերյալ վճիռները և որոշումները կայացնում է գրավոր ընթացակարգով, բացառությամբ այն դեպքերի, երբ դատարանը գործին մասնակցող անձի միջնորդությամբ կամ իր նախաձեռնությամբ եկել է եզրահանգման, որ անհրաժեշտ է գործը քննել դատական նիստում: </w:t>
      </w:r>
    </w:p>
    <w:p w14:paraId="64BF3A9A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17380BC7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Նույն հոդվածի 4-րդ մասի համաձայն՝ գործը դատական նիստում քննելու հարցը կարող է լուծվել նաև հայցադիմումը վարույթ ընդունելու մասին որոշմամբ:</w:t>
      </w:r>
    </w:p>
    <w:p w14:paraId="5C287EFF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189CF533" w14:textId="77777777" w:rsidR="00C16199" w:rsidRPr="008F783C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Տվյալ դեպքու</w:t>
      </w:r>
      <w:r w:rsidRPr="004A3CD1">
        <w:rPr>
          <w:rFonts w:ascii="Sylfaen" w:hAnsi="Sylfaen" w:cs="Sylfaen"/>
          <w:sz w:val="24"/>
          <w:szCs w:val="24"/>
          <w:lang w:val="hy-AM"/>
        </w:rPr>
        <w:t>մ</w:t>
      </w:r>
      <w:r w:rsidRPr="008F783C">
        <w:rPr>
          <w:rFonts w:ascii="Sylfaen" w:hAnsi="Sylfaen" w:cs="Sylfaen"/>
          <w:sz w:val="24"/>
          <w:szCs w:val="24"/>
          <w:lang w:val="hy-AM"/>
        </w:rPr>
        <w:t xml:space="preserve">, ելնելով ներկայացված վեճի և հայցապահանջների բովանդակությունից, առկա է կողմերի հետ գործի լուծման համար էական նշանակություն ունեցող փաստերի քննության անհրաժեշտություն, որպիսի պարագայում առկա է առնվազն մեկ դատական նիստ անցկացնելու անհրաժեշտություն: </w:t>
      </w:r>
    </w:p>
    <w:p w14:paraId="587762F8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771C9BD5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Ելնելով վերոգրյալից և ղեկավարվելով ՀՀ քաղաքացիական դատավարության օրենսգրքի 124, 125, 234.5 և 234.6, 234.9, 199-200 հոդվածներով`</w:t>
      </w:r>
    </w:p>
    <w:p w14:paraId="1F932F1F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8"/>
          <w:szCs w:val="24"/>
          <w:lang w:val="hy-AM"/>
        </w:rPr>
      </w:pPr>
    </w:p>
    <w:p w14:paraId="6C836BBC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4A3CD1">
        <w:rPr>
          <w:rFonts w:ascii="Sylfaen" w:hAnsi="Sylfaen" w:cs="Sylfaen"/>
          <w:b/>
          <w:sz w:val="24"/>
          <w:szCs w:val="24"/>
          <w:lang w:val="hy-AM"/>
        </w:rPr>
        <w:t>Ո Ր Ո Շ Ե Ց</w:t>
      </w:r>
    </w:p>
    <w:p w14:paraId="08C90356" w14:textId="77777777" w:rsidR="00C16199" w:rsidRPr="00110E0D" w:rsidRDefault="00C16199" w:rsidP="00C16199">
      <w:pPr>
        <w:spacing w:after="0"/>
        <w:ind w:left="-540" w:right="-5" w:firstLine="540"/>
        <w:jc w:val="both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</w:t>
      </w:r>
    </w:p>
    <w:p w14:paraId="2291AD6C" w14:textId="77777777" w:rsidR="00C16199" w:rsidRPr="00721EA5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8"/>
          <w:szCs w:val="24"/>
          <w:lang w:val="it-IT"/>
        </w:rPr>
      </w:pPr>
    </w:p>
    <w:p w14:paraId="49B6BE08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1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Ըստ  հայցի «ԿԱՊԻՏԱԼ ԴԻԶԱՅՆ»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 ընկերության ընդդեմ </w:t>
      </w:r>
      <w:r>
        <w:rPr>
          <w:rFonts w:ascii="Sylfaen" w:hAnsi="Sylfaen" w:cs="Sylfaen"/>
          <w:sz w:val="24"/>
          <w:szCs w:val="24"/>
          <w:lang w:val="hy-AM"/>
        </w:rPr>
        <w:t>Երևանի քաղաքապետարանի, վեճի առարկայի նկատմամբ ինքնուրույն պահանջ չներկայացնող երրորդ անձ՝ ՀՀ ֆինանսների նախարարության՝ «ԿԱՊԻՏԱԼ ԴԻԶԱՅՆ»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</w:t>
      </w:r>
      <w:r>
        <w:rPr>
          <w:rFonts w:ascii="Sylfaen" w:hAnsi="Sylfaen" w:cs="Sylfaen"/>
          <w:sz w:val="24"/>
          <w:szCs w:val="24"/>
          <w:lang w:val="hy-AM"/>
        </w:rPr>
        <w:t xml:space="preserve">Ը-ին գնումների գործընթացին մասնակցելու իրավունք չունեցող մասնակիցների ցուցակում ներառելու մասին Երևանի քաղաքապետի առաջին տեղեկալ, Երևանի քաղաքապետի պաշտոնակատար՝ Լևոն Հովհաննիսյանի 10.04.2023թ. կայացրած 774-Ա որոշումն անվավեր ճանաչելու պահանջի վերաբերյալ </w:t>
      </w:r>
      <w:r w:rsidRPr="004A3CD1">
        <w:rPr>
          <w:rFonts w:ascii="Sylfaen" w:hAnsi="Sylfaen" w:cs="Sylfaen"/>
          <w:sz w:val="24"/>
          <w:szCs w:val="24"/>
          <w:lang w:val="hy-AM"/>
        </w:rPr>
        <w:t>հայցադիմումն ընդունել վարույթ:</w:t>
      </w:r>
    </w:p>
    <w:p w14:paraId="02A522C9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14341F63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2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. Պատասխանող </w:t>
      </w:r>
      <w:r>
        <w:rPr>
          <w:rFonts w:ascii="Sylfaen" w:hAnsi="Sylfaen" w:cs="Sylfaen"/>
          <w:sz w:val="24"/>
          <w:szCs w:val="24"/>
          <w:lang w:val="hy-AM"/>
        </w:rPr>
        <w:t>Երևանի քաղաքապետարանից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 պահանջել գնման գործընթացի հետ կապված պատասխանողի տիրապետման տակ գտնվող բոլոր ապացույցները:</w:t>
      </w:r>
    </w:p>
    <w:p w14:paraId="2EA4CC72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0343F3BB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3</w:t>
      </w:r>
      <w:r w:rsidRPr="004A3CD1">
        <w:rPr>
          <w:rFonts w:ascii="Sylfaen" w:hAnsi="Sylfaen" w:cs="Sylfaen"/>
          <w:sz w:val="24"/>
          <w:szCs w:val="24"/>
          <w:lang w:val="hy-AM"/>
        </w:rPr>
        <w:t>. Պարզաբանել կողմերին, որ՝</w:t>
      </w:r>
    </w:p>
    <w:p w14:paraId="60E9F6E4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ապացույցներ պահանջելու վերաբերյալ որոշումը կատարվում է պատասխանողի կողմից որոշումն ստանալուց հետո՝ հնգօրյա ժամկետում, և այդ ժամկետում պատաս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խանողի կողմից ապացույցներ պահանջելու վերաբերյալ որոշման պահանջները չկատար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վելու դեպքում գործը քննվում է դրանում առկա ապացույցների հիման վրա, իսկ հայցվորի վկայակոչած այն փաստերը, որոնք ենթակա են հաստատման պատասխանողի տիրա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պետման տակ գտնվող ապացույցներով, համարվում են հաստատված:</w:t>
      </w:r>
    </w:p>
    <w:p w14:paraId="0AB17E3F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վիճարկվող գործողությունների (անգործության) և որոշումների հիմքում ընկած հանգամանքների, ինչպես նաև տվյալ գործողությունների (անգործության) կատարման և որոշման ընդունման օրենքով, այլ իրավական ակտերով սահմանված կարգը պահպանված լինելու փաստերն ապացուցելու պարտականությունը կրում է պատասխանողը.</w:t>
      </w:r>
    </w:p>
    <w:p w14:paraId="5644F334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պատասխանողը վիճարկվող գործողությունների (անգործության) և որոշումների իրավաչափությունը հիմնավորող ապացույցներ կարող է ներկայացնել միայն ապացույց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ները պահանջելու որոշման կատարման ընթացքում, բացառությամբ այն դեպքերի, երբ հիմնավորում է ապացույցի ներկայացման անհնարինությունը իրենից անկախ պատճառներով:</w:t>
      </w:r>
    </w:p>
    <w:p w14:paraId="2E32F433" w14:textId="77777777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հայցադիմումի պատասխանը ներկայացվում է հայցադիմումը վարույթ ընդունելու մասին որոշումն ստանալուց հետո՝ հնգօրյա ժամկետում:</w:t>
      </w:r>
    </w:p>
    <w:p w14:paraId="73CF07FD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 xml:space="preserve">- քաղաքացիական դատավարության օրենսգրքի 234.11 հոդվածի համաձայն՝ պատվիրատուի և գնահատող հանձնաժողովի գործողությունների (անգործության) և որոշումների (բացառությամբ «Գնումների մասին» Հայաստանի Հանրապետության օրենքի 6-րդ հոդվածի 2-րդ մասով նախատեսված որոշումների) բողոքարկումն </w:t>
      </w:r>
      <w:r w:rsidRPr="004A3CD1">
        <w:rPr>
          <w:rFonts w:ascii="Sylfaen" w:hAnsi="Sylfaen" w:cs="Sylfaen"/>
          <w:sz w:val="24"/>
          <w:szCs w:val="24"/>
          <w:lang w:val="hy-AM"/>
        </w:rPr>
        <w:lastRenderedPageBreak/>
        <w:t>ինքնաբերաբար կասեցնում է գնման գործընթացը` սույն օրենսգրքի 234.6-րդ հոդվածի 5-րդ մասով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օրը:</w:t>
      </w:r>
    </w:p>
    <w:p w14:paraId="68726F57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09265552" w14:textId="77777777" w:rsidR="00C16199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6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. Գործի քննությունն իրականացնել դատական նիստով, որը տեղի կունենա 2023թ. </w:t>
      </w:r>
      <w:r>
        <w:rPr>
          <w:rFonts w:ascii="Sylfaen" w:hAnsi="Sylfaen" w:cs="Sylfaen"/>
          <w:sz w:val="24"/>
          <w:szCs w:val="24"/>
          <w:lang w:val="hy-AM"/>
        </w:rPr>
        <w:t>հունիսի 19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-ին, ժամը՝ </w:t>
      </w:r>
      <w:r>
        <w:rPr>
          <w:rFonts w:ascii="Sylfaen" w:hAnsi="Sylfaen" w:cs="Sylfaen"/>
          <w:sz w:val="24"/>
          <w:szCs w:val="24"/>
          <w:lang w:val="hy-AM"/>
        </w:rPr>
        <w:t>15:30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-ին ՀՀ Երևան քաղաքի առաջին ատյանի ընդհանուր իրավասության </w:t>
      </w:r>
      <w:r>
        <w:rPr>
          <w:rFonts w:ascii="Sylfaen" w:hAnsi="Sylfaen" w:cs="Sylfaen"/>
          <w:sz w:val="24"/>
          <w:szCs w:val="24"/>
          <w:lang w:val="hy-AM"/>
        </w:rPr>
        <w:t xml:space="preserve">քաղաքացիական 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դատարանի Էրեբունու նստավայրի (հասցե` ՀՀ, ք.Երևան, Մ.Խորենացի 162Ա) դատական նիստերի թիվ </w:t>
      </w:r>
      <w:r>
        <w:rPr>
          <w:rFonts w:ascii="Sylfaen" w:hAnsi="Sylfaen" w:cs="Sylfaen"/>
          <w:sz w:val="24"/>
          <w:szCs w:val="24"/>
          <w:lang w:val="hy-AM"/>
        </w:rPr>
        <w:t xml:space="preserve">6 </w:t>
      </w:r>
      <w:r w:rsidRPr="004A3CD1">
        <w:rPr>
          <w:rFonts w:ascii="Sylfaen" w:hAnsi="Sylfaen" w:cs="Sylfaen"/>
          <w:sz w:val="24"/>
          <w:szCs w:val="24"/>
          <w:lang w:val="hy-AM"/>
        </w:rPr>
        <w:t>դահլիճում:</w:t>
      </w:r>
    </w:p>
    <w:p w14:paraId="1EA3CFCE" w14:textId="77777777" w:rsidR="00C16199" w:rsidRPr="000C7F83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0D67E157" w14:textId="3A55C16A" w:rsidR="00C16199" w:rsidRPr="004A3CD1" w:rsidRDefault="00C16199" w:rsidP="00C16199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403D70" wp14:editId="0F750A43">
            <wp:simplePos x="0" y="0"/>
            <wp:positionH relativeFrom="column">
              <wp:posOffset>2277508</wp:posOffset>
            </wp:positionH>
            <wp:positionV relativeFrom="paragraph">
              <wp:posOffset>338455</wp:posOffset>
            </wp:positionV>
            <wp:extent cx="91948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033" y="21367"/>
                <wp:lineTo x="210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sz w:val="24"/>
          <w:szCs w:val="24"/>
          <w:lang w:val="hy-AM"/>
        </w:rPr>
        <w:t>7</w:t>
      </w:r>
      <w:r w:rsidRPr="004A3CD1">
        <w:rPr>
          <w:rFonts w:ascii="Sylfaen" w:hAnsi="Sylfaen" w:cs="Sylfaen"/>
          <w:sz w:val="24"/>
          <w:szCs w:val="24"/>
          <w:lang w:val="hy-AM"/>
        </w:rPr>
        <w:t>. Որոշումն օրինական ուժի մեջ է մտնում կայացման պահից և ենթակա չէ բողո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քարկման:</w:t>
      </w:r>
    </w:p>
    <w:p w14:paraId="653C6F5D" w14:textId="309E0C97" w:rsidR="00C16199" w:rsidRPr="00B74683" w:rsidRDefault="00C16199" w:rsidP="00C16199">
      <w:pPr>
        <w:tabs>
          <w:tab w:val="left" w:pos="7920"/>
        </w:tabs>
        <w:spacing w:after="0" w:line="240" w:lineRule="auto"/>
        <w:ind w:firstLine="720"/>
        <w:jc w:val="both"/>
        <w:rPr>
          <w:rFonts w:ascii="Sylfaen" w:hAnsi="Sylfaen" w:cs="Sylfaen"/>
          <w:sz w:val="14"/>
          <w:szCs w:val="24"/>
          <w:lang w:val="nb-NO"/>
        </w:rPr>
      </w:pPr>
    </w:p>
    <w:p w14:paraId="5A893BCB" w14:textId="0CF85381" w:rsidR="00C16199" w:rsidRPr="00C16199" w:rsidRDefault="00C16199" w:rsidP="00C16199">
      <w:pPr>
        <w:pStyle w:val="BodyTextIndent"/>
        <w:spacing w:after="0" w:line="240" w:lineRule="auto"/>
        <w:jc w:val="center"/>
        <w:rPr>
          <w:rFonts w:ascii="Sylfaen" w:hAnsi="Sylfaen"/>
          <w:b/>
          <w:iCs/>
          <w:sz w:val="24"/>
          <w:szCs w:val="24"/>
          <w:lang w:val="hy-AM"/>
        </w:rPr>
      </w:pPr>
      <w:r w:rsidRPr="00C16199">
        <w:rPr>
          <w:rFonts w:ascii="Sylfaen" w:hAnsi="Sylfaen"/>
          <w:b/>
          <w:iCs/>
          <w:sz w:val="24"/>
          <w:szCs w:val="24"/>
          <w:lang w:val="hy-AM"/>
        </w:rPr>
        <w:t>ԴԱՏԱՎՈՐ`</w:t>
      </w:r>
      <w:r w:rsidRPr="00C16199">
        <w:rPr>
          <w:rFonts w:ascii="Sylfaen" w:hAnsi="Sylfaen"/>
          <w:b/>
          <w:iCs/>
          <w:sz w:val="24"/>
          <w:szCs w:val="24"/>
          <w:lang w:val="hy-AM"/>
        </w:rPr>
        <w:tab/>
      </w:r>
      <w:r w:rsidRPr="00C16199">
        <w:rPr>
          <w:rFonts w:ascii="Sylfaen" w:hAnsi="Sylfaen"/>
          <w:b/>
          <w:iCs/>
          <w:sz w:val="24"/>
          <w:szCs w:val="24"/>
          <w:lang w:val="hy-AM"/>
        </w:rPr>
        <w:tab/>
      </w:r>
      <w:r w:rsidRPr="00C16199">
        <w:rPr>
          <w:rFonts w:ascii="Sylfaen" w:hAnsi="Sylfaen"/>
          <w:b/>
          <w:iCs/>
          <w:sz w:val="24"/>
          <w:szCs w:val="24"/>
          <w:lang w:val="hy-AM"/>
        </w:rPr>
        <w:tab/>
        <w:t>ԼԻԶԱ  ԳՐԻԳՈՐՅԱՆ</w:t>
      </w:r>
    </w:p>
    <w:p w14:paraId="34A98B00" w14:textId="02BDADAE" w:rsidR="00696953" w:rsidRPr="00C16199" w:rsidRDefault="00696953"/>
    <w:sectPr w:rsidR="00696953" w:rsidRPr="00C1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CE"/>
    <w:rsid w:val="003E6A74"/>
    <w:rsid w:val="00450DCE"/>
    <w:rsid w:val="00696953"/>
    <w:rsid w:val="00C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FCE14-7570-4B95-979D-D51C74B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161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619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1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Minasyan</dc:creator>
  <cp:keywords>https:/mul2-minfin.gov.am/tasks/638846/oneclick/0e28ecdb3d25c6ab6b4705bf2a33fafac27c5c75e727770f603d80886ddd64aa.docx?token=a34c82a43a3f26cd89dfc64e784c6bb6</cp:keywords>
  <dc:description/>
  <cp:lastModifiedBy>Gor Mehrabyan</cp:lastModifiedBy>
  <cp:revision>2</cp:revision>
  <dcterms:created xsi:type="dcterms:W3CDTF">2023-05-30T05:46:00Z</dcterms:created>
  <dcterms:modified xsi:type="dcterms:W3CDTF">2023-05-30T05:46:00Z</dcterms:modified>
</cp:coreProperties>
</file>